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令和４年度福祉人材</w:t>
      </w:r>
      <w:r w:rsidR="008B325C">
        <w:rPr>
          <w:rFonts w:ascii="HG丸ｺﾞｼｯｸM-PRO" w:eastAsia="ＭＳ Ｐ明朝" w:cs="ＭＳ Ｐ明朝" w:hint="eastAsia"/>
          <w:sz w:val="20"/>
          <w:szCs w:val="20"/>
        </w:rPr>
        <w:t>カフェ</w:t>
      </w:r>
      <w:bookmarkStart w:id="0" w:name="_GoBack"/>
      <w:bookmarkEnd w:id="0"/>
      <w:r w:rsidR="001B3B59">
        <w:rPr>
          <w:rFonts w:ascii="HG丸ｺﾞｼｯｸM-PRO" w:eastAsia="ＭＳ Ｐ明朝" w:cs="ＭＳ Ｐ明朝" w:hint="eastAsia"/>
          <w:sz w:val="20"/>
          <w:szCs w:val="20"/>
        </w:rPr>
        <w:t>運営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業務委託に係る一般競争入札の参加資格を承継したいので、関係書類を添えて申請します。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B3B59"/>
    <w:rsid w:val="002C5D6D"/>
    <w:rsid w:val="00340B29"/>
    <w:rsid w:val="00391DBC"/>
    <w:rsid w:val="003D0BD4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29B833C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赤澤　和樹</cp:lastModifiedBy>
  <cp:revision>2</cp:revision>
  <cp:lastPrinted>2022-01-27T07:57:00Z</cp:lastPrinted>
  <dcterms:created xsi:type="dcterms:W3CDTF">2022-02-02T07:34:00Z</dcterms:created>
  <dcterms:modified xsi:type="dcterms:W3CDTF">2022-02-02T07:34:00Z</dcterms:modified>
</cp:coreProperties>
</file>