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</w:t>
      </w:r>
      <w:r w:rsidR="00C63D3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４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年度</w:t>
      </w:r>
      <w:r w:rsidR="0062161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京都地域包括ケア推進機構プロジェクト推進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業務委託</w:t>
      </w:r>
    </w:p>
    <w:p w:rsidR="00430674" w:rsidRP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落札者決定基準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62161B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京都地域包括ケア推進機構プロジェクト推進業務</w:t>
      </w:r>
      <w:r w:rsidR="00C63D35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委託</w:t>
      </w:r>
      <w:r w:rsidR="00430674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係る総合評価競争入札において、入札参加者から提出された各評価項目の評価に当たり、入札価格の評価（以下「価格評価点」という。）及び企画提案に対する評価（以下「技術評価点」という。）の観点で評価する。</w:t>
      </w:r>
    </w:p>
    <w:p w:rsidR="00430674" w:rsidRPr="00430674" w:rsidRDefault="00430674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落札者の決定に当たっては、最適な事業者を選定するため、入札価格が予定価格の制限の範囲内にある入札者のうち、価格評価点及び技術評価点の合計点（以下「評価値」という。）の最も高い者とする。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　総合評価の方法</w:t>
      </w:r>
      <w:bookmarkStart w:id="0" w:name="_GoBack"/>
      <w:bookmarkEnd w:id="0"/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（１）評価値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評価値の満点を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300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点とし、その内訳は価格評価点を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点、技術評価点を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200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点とする。さらに、技術評価点は仕様の適合性等「価格と同等に評価できる項目」の評価を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点、企画提案の創造性や新規性等「価格と同等に評価できない項目」の評価を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（２）価格評価点の評価方法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価格評価点は、予定価格の制限の範囲内にあるものについて、次の計算式による。</w:t>
      </w:r>
    </w:p>
    <w:p w:rsidR="00430674" w:rsidRPr="00430674" w:rsidRDefault="00430674" w:rsidP="005A677F">
      <w:pPr>
        <w:overflowPunct w:val="0"/>
        <w:ind w:left="1998" w:hangingChars="900" w:hanging="199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  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価格評価点＝（１－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(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入札価格×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1.1)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／予定価格）×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［小数点以下切り捨て］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（３）技術評価点の評価方法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技術評価点は、別表の評価基準に基づいて評価を行い、評価項目ごとに得点を算出する。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（４）落札者の決定方法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評価値が最も高い者を落札者とする。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ただし、同点の場合は、くじ引きにより決定するものとする。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sectPr w:rsidR="00430674" w:rsidRPr="00430674" w:rsidSect="00430674">
      <w:footnotePr>
        <w:numFmt w:val="lowerRoman"/>
      </w:footnotePr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BF" w:rsidRDefault="001107BF" w:rsidP="001107BF">
      <w:r>
        <w:separator/>
      </w:r>
    </w:p>
  </w:endnote>
  <w:endnote w:type="continuationSeparator" w:id="0">
    <w:p w:rsidR="001107BF" w:rsidRDefault="001107BF" w:rsidP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BF" w:rsidRDefault="001107BF" w:rsidP="001107BF">
      <w:r>
        <w:separator/>
      </w:r>
    </w:p>
  </w:footnote>
  <w:footnote w:type="continuationSeparator" w:id="0">
    <w:p w:rsidR="001107BF" w:rsidRDefault="001107BF" w:rsidP="0011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4"/>
    <w:rsid w:val="001107BF"/>
    <w:rsid w:val="00281EE5"/>
    <w:rsid w:val="00430674"/>
    <w:rsid w:val="005A677F"/>
    <w:rsid w:val="0062161B"/>
    <w:rsid w:val="00A51872"/>
    <w:rsid w:val="00C63D35"/>
    <w:rsid w:val="00F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0B69E"/>
  <w15:chartTrackingRefBased/>
  <w15:docId w15:val="{0C3D406F-36A7-40BD-A142-0BE8B01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BF"/>
  </w:style>
  <w:style w:type="paragraph" w:styleId="a5">
    <w:name w:val="footer"/>
    <w:basedOn w:val="a"/>
    <w:link w:val="a6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千英</dc:creator>
  <cp:keywords/>
  <dc:description/>
  <cp:lastModifiedBy>小川　寛太</cp:lastModifiedBy>
  <cp:revision>7</cp:revision>
  <cp:lastPrinted>2022-01-13T10:41:00Z</cp:lastPrinted>
  <dcterms:created xsi:type="dcterms:W3CDTF">2022-01-11T02:35:00Z</dcterms:created>
  <dcterms:modified xsi:type="dcterms:W3CDTF">2022-02-14T07:55:00Z</dcterms:modified>
</cp:coreProperties>
</file>