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EA" w:rsidRPr="00C71545" w:rsidRDefault="00A42422" w:rsidP="004761EA">
      <w:pPr>
        <w:pStyle w:val="Default"/>
        <w:jc w:val="center"/>
        <w:rPr>
          <w:rFonts w:asciiTheme="majorEastAsia" w:eastAsiaTheme="majorEastAsia" w:hAnsiTheme="majorEastAsia" w:cs="ＭＳ ゴシック"/>
          <w:b/>
        </w:rPr>
      </w:pPr>
      <w:r w:rsidRPr="00A42422">
        <w:rPr>
          <w:rFonts w:asciiTheme="majorEastAsia" w:eastAsiaTheme="majorEastAsia" w:hAnsiTheme="majorEastAsia" w:cstheme="minorBidi"/>
          <w:noProof/>
          <w:color w:val="auto"/>
          <w:kern w:val="2"/>
          <w:sz w:val="32"/>
        </w:rPr>
        <mc:AlternateContent>
          <mc:Choice Requires="wps">
            <w:drawing>
              <wp:anchor distT="0" distB="0" distL="114300" distR="114300" simplePos="0" relativeHeight="251659264" behindDoc="0" locked="0" layoutInCell="1" allowOverlap="1" wp14:anchorId="06C142C1" wp14:editId="3F2A8DE7">
                <wp:simplePos x="0" y="0"/>
                <wp:positionH relativeFrom="column">
                  <wp:posOffset>5204460</wp:posOffset>
                </wp:positionH>
                <wp:positionV relativeFrom="paragraph">
                  <wp:posOffset>-424815</wp:posOffset>
                </wp:positionV>
                <wp:extent cx="123825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38250" cy="504825"/>
                        </a:xfrm>
                        <a:prstGeom prst="rect">
                          <a:avLst/>
                        </a:prstGeom>
                        <a:solidFill>
                          <a:sysClr val="window" lastClr="FFFFFF"/>
                        </a:solidFill>
                        <a:ln w="12700" cap="flat" cmpd="sng" algn="ctr">
                          <a:solidFill>
                            <a:sysClr val="windowText" lastClr="000000"/>
                          </a:solidFill>
                          <a:prstDash val="solid"/>
                        </a:ln>
                        <a:effectLst/>
                      </wps:spPr>
                      <wps:txbx>
                        <w:txbxContent>
                          <w:p w:rsidR="00A42422" w:rsidRPr="001619A5" w:rsidRDefault="00A42422" w:rsidP="00A42422">
                            <w:pPr>
                              <w:jc w:val="center"/>
                              <w:rPr>
                                <w:sz w:val="28"/>
                              </w:rPr>
                            </w:pPr>
                            <w:r w:rsidRPr="001619A5">
                              <w:rPr>
                                <w:sz w:val="28"/>
                              </w:rPr>
                              <w:t>資料１</w:t>
                            </w:r>
                            <w:r>
                              <w:rPr>
                                <w:sz w:val="28"/>
                              </w:rPr>
                              <w:t>－</w:t>
                            </w:r>
                            <w:r>
                              <w:rPr>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09.8pt;margin-top:-33.45pt;width:9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" fillcolor="window" strokecolor="windowText" strokeweight="1pt">
                <v:textbox>
                  <w:txbxContent>
                    <w:p w:rsidR="00A42422" w:rsidRPr="001619A5" w:rsidRDefault="00A42422" w:rsidP="00A42422">
                      <w:pPr>
                        <w:jc w:val="center"/>
                        <w:rPr>
                          <w:sz w:val="28"/>
                        </w:rPr>
                      </w:pPr>
                      <w:r w:rsidRPr="001619A5">
                        <w:rPr>
                          <w:sz w:val="28"/>
                        </w:rPr>
                        <w:t>資料１</w:t>
                      </w:r>
                      <w:r>
                        <w:rPr>
                          <w:sz w:val="28"/>
                        </w:rPr>
                        <w:t>－</w:t>
                      </w:r>
                      <w:r>
                        <w:rPr>
                          <w:sz w:val="28"/>
                        </w:rPr>
                        <w:t>２</w:t>
                      </w:r>
                    </w:p>
                  </w:txbxContent>
                </v:textbox>
              </v:rect>
            </w:pict>
          </mc:Fallback>
        </mc:AlternateContent>
      </w:r>
      <w:r w:rsidR="004761EA" w:rsidRPr="00C71545">
        <w:rPr>
          <w:rFonts w:asciiTheme="majorEastAsia" w:eastAsiaTheme="majorEastAsia" w:hAnsiTheme="majorEastAsia" w:cs="ＭＳ ゴシック"/>
          <w:b/>
          <w:sz w:val="32"/>
        </w:rPr>
        <w:t>病床機能報告に係る</w:t>
      </w:r>
      <w:r w:rsidR="004761EA" w:rsidRPr="00C71545">
        <w:rPr>
          <w:rFonts w:asciiTheme="majorEastAsia" w:eastAsiaTheme="majorEastAsia" w:hAnsiTheme="majorEastAsia" w:cs="ＭＳ ゴシック"/>
          <w:b/>
          <w:sz w:val="32"/>
          <w:szCs w:val="23"/>
        </w:rPr>
        <w:t>定量的な基準</w:t>
      </w:r>
      <w:r w:rsidR="004761EA" w:rsidRPr="00C71545">
        <w:rPr>
          <w:rFonts w:asciiTheme="majorEastAsia" w:eastAsiaTheme="majorEastAsia" w:hAnsiTheme="majorEastAsia" w:cs="ＭＳ ゴシック" w:hint="eastAsia"/>
          <w:b/>
          <w:sz w:val="32"/>
          <w:szCs w:val="23"/>
        </w:rPr>
        <w:t>（</w:t>
      </w:r>
      <w:r w:rsidR="004761EA" w:rsidRPr="00C71545">
        <w:rPr>
          <w:rFonts w:asciiTheme="majorEastAsia" w:eastAsiaTheme="majorEastAsia" w:hAnsiTheme="majorEastAsia" w:cs="ＭＳ ゴシック"/>
          <w:b/>
          <w:sz w:val="32"/>
        </w:rPr>
        <w:t>京都方式</w:t>
      </w:r>
      <w:r w:rsidR="004761EA" w:rsidRPr="00C71545">
        <w:rPr>
          <w:rFonts w:asciiTheme="majorEastAsia" w:eastAsiaTheme="majorEastAsia" w:hAnsiTheme="majorEastAsia" w:cs="ＭＳ ゴシック" w:hint="eastAsia"/>
          <w:b/>
          <w:sz w:val="32"/>
        </w:rPr>
        <w:t>）</w:t>
      </w:r>
      <w:r w:rsidR="004761EA" w:rsidRPr="00C71545">
        <w:rPr>
          <w:rFonts w:asciiTheme="majorEastAsia" w:eastAsiaTheme="majorEastAsia" w:hAnsiTheme="majorEastAsia" w:cs="ＭＳ ゴシック"/>
          <w:b/>
          <w:sz w:val="32"/>
          <w:szCs w:val="23"/>
        </w:rPr>
        <w:t>について</w:t>
      </w:r>
    </w:p>
    <w:p w:rsidR="004761EA" w:rsidRPr="00BD4B4F" w:rsidRDefault="004761EA" w:rsidP="004761EA">
      <w:pPr>
        <w:overflowPunct/>
        <w:autoSpaceDE w:val="0"/>
        <w:autoSpaceDN w:val="0"/>
        <w:adjustRightInd w:val="0"/>
        <w:jc w:val="left"/>
        <w:textAlignment w:val="auto"/>
        <w:rPr>
          <w:rFonts w:asciiTheme="majorEastAsia" w:eastAsiaTheme="majorEastAsia" w:hAnsiTheme="majorEastAsia" w:cs="ＭＳ ゴシック" w:hint="default"/>
          <w:b/>
          <w:szCs w:val="24"/>
        </w:rPr>
      </w:pPr>
      <w:r w:rsidRPr="00BD4B4F">
        <w:rPr>
          <w:rFonts w:asciiTheme="majorEastAsia" w:eastAsiaTheme="majorEastAsia" w:hAnsiTheme="majorEastAsia" w:cs="ＭＳ ゴシック"/>
          <w:b/>
          <w:szCs w:val="24"/>
        </w:rPr>
        <w:t>【背　景】</w:t>
      </w:r>
    </w:p>
    <w:p w:rsidR="004761EA" w:rsidRPr="00C71545" w:rsidRDefault="004761EA" w:rsidP="004761EA">
      <w:pPr>
        <w:overflowPunct/>
        <w:autoSpaceDE w:val="0"/>
        <w:autoSpaceDN w:val="0"/>
        <w:adjustRightInd w:val="0"/>
        <w:ind w:firstLineChars="100" w:firstLine="240"/>
        <w:jc w:val="left"/>
        <w:textAlignment w:val="auto"/>
        <w:rPr>
          <w:rFonts w:asciiTheme="majorEastAsia" w:eastAsiaTheme="majorEastAsia" w:hAnsiTheme="majorEastAsia" w:cs="ＭＳゴシック" w:hint="default"/>
          <w:color w:val="auto"/>
          <w:szCs w:val="24"/>
        </w:rPr>
      </w:pPr>
      <w:r w:rsidRPr="00C71545">
        <w:rPr>
          <w:rFonts w:asciiTheme="majorEastAsia" w:eastAsiaTheme="majorEastAsia" w:hAnsiTheme="majorEastAsia" w:cs="ＭＳ明朝"/>
          <w:color w:val="auto"/>
          <w:szCs w:val="24"/>
        </w:rPr>
        <w:t>医療法第</w:t>
      </w:r>
      <w:r w:rsidRPr="00C71545">
        <w:rPr>
          <w:rFonts w:asciiTheme="majorEastAsia" w:eastAsiaTheme="majorEastAsia" w:hAnsiTheme="majorEastAsia" w:cs="Century" w:hint="default"/>
          <w:color w:val="auto"/>
          <w:szCs w:val="24"/>
        </w:rPr>
        <w:t>30</w:t>
      </w:r>
      <w:r w:rsidRPr="00C71545">
        <w:rPr>
          <w:rFonts w:asciiTheme="majorEastAsia" w:eastAsiaTheme="majorEastAsia" w:hAnsiTheme="majorEastAsia" w:cs="ＭＳ明朝"/>
          <w:color w:val="auto"/>
          <w:szCs w:val="24"/>
        </w:rPr>
        <w:t>条の</w:t>
      </w:r>
      <w:r w:rsidRPr="00C71545">
        <w:rPr>
          <w:rFonts w:asciiTheme="majorEastAsia" w:eastAsiaTheme="majorEastAsia" w:hAnsiTheme="majorEastAsia" w:cs="Century" w:hint="default"/>
          <w:color w:val="auto"/>
          <w:szCs w:val="24"/>
        </w:rPr>
        <w:t>13</w:t>
      </w:r>
      <w:r w:rsidRPr="00C71545">
        <w:rPr>
          <w:rFonts w:asciiTheme="majorEastAsia" w:eastAsiaTheme="majorEastAsia" w:hAnsiTheme="majorEastAsia" w:cs="ＭＳ明朝"/>
          <w:color w:val="auto"/>
          <w:szCs w:val="24"/>
        </w:rPr>
        <w:t>の規定に基づく</w:t>
      </w:r>
      <w:r w:rsidRPr="00C71545">
        <w:rPr>
          <w:rFonts w:asciiTheme="majorEastAsia" w:eastAsiaTheme="majorEastAsia" w:hAnsiTheme="majorEastAsia" w:cs="ＭＳゴシック"/>
          <w:color w:val="auto"/>
          <w:szCs w:val="24"/>
        </w:rPr>
        <w:t>病床機能報告は、医療機関の各病棟が担っている医療機能を把握し、その報告を基に地域における医療機能の分化・連携を進めることを目的</w:t>
      </w:r>
      <w:bookmarkStart w:id="0" w:name="_GoBack"/>
      <w:bookmarkEnd w:id="0"/>
      <w:r w:rsidRPr="00C71545">
        <w:rPr>
          <w:rFonts w:asciiTheme="majorEastAsia" w:eastAsiaTheme="majorEastAsia" w:hAnsiTheme="majorEastAsia" w:cs="ＭＳゴシック"/>
          <w:color w:val="auto"/>
          <w:szCs w:val="24"/>
        </w:rPr>
        <w:t>に平成26年度から開始された制度です。</w:t>
      </w:r>
    </w:p>
    <w:p w:rsidR="00883A72" w:rsidRPr="00C71545" w:rsidRDefault="004761EA" w:rsidP="00883A72">
      <w:pPr>
        <w:overflowPunct/>
        <w:autoSpaceDE w:val="0"/>
        <w:autoSpaceDN w:val="0"/>
        <w:adjustRightInd w:val="0"/>
        <w:ind w:firstLineChars="100" w:firstLine="240"/>
        <w:jc w:val="left"/>
        <w:textAlignment w:val="auto"/>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毎年度、医療機関が</w:t>
      </w:r>
      <w:r w:rsidR="0009042F" w:rsidRPr="00C71545">
        <w:rPr>
          <w:rFonts w:asciiTheme="majorEastAsia" w:eastAsiaTheme="majorEastAsia" w:hAnsiTheme="majorEastAsia" w:cs="ＭＳ ゴシック"/>
          <w:szCs w:val="24"/>
        </w:rPr>
        <w:t>一般病床及び療養病床</w:t>
      </w:r>
      <w:r w:rsidRPr="00C71545">
        <w:rPr>
          <w:rFonts w:asciiTheme="majorEastAsia" w:eastAsiaTheme="majorEastAsia" w:hAnsiTheme="majorEastAsia" w:cs="ＭＳ ゴシック"/>
          <w:szCs w:val="24"/>
        </w:rPr>
        <w:t>において担っている医療機能を主体的に選択し、</w:t>
      </w:r>
      <w:r w:rsidRPr="00C71545">
        <w:rPr>
          <w:rFonts w:asciiTheme="majorEastAsia" w:eastAsiaTheme="majorEastAsia" w:hAnsiTheme="majorEastAsia" w:cs="ＭＳ ゴシック"/>
          <w:szCs w:val="24"/>
          <w:u w:val="single"/>
        </w:rPr>
        <w:t>「病棟単位」で</w:t>
      </w:r>
      <w:r w:rsidRPr="00C71545">
        <w:rPr>
          <w:rFonts w:asciiTheme="majorEastAsia" w:eastAsiaTheme="majorEastAsia" w:hAnsiTheme="majorEastAsia" w:cs="ＭＳ ゴシック" w:hint="default"/>
          <w:szCs w:val="24"/>
          <w:u w:val="single"/>
        </w:rPr>
        <w:t>報告</w:t>
      </w:r>
      <w:r w:rsidRPr="00C71545">
        <w:rPr>
          <w:rFonts w:asciiTheme="majorEastAsia" w:eastAsiaTheme="majorEastAsia" w:hAnsiTheme="majorEastAsia" w:cs="ＭＳ ゴシック"/>
          <w:szCs w:val="24"/>
        </w:rPr>
        <w:t>する</w:t>
      </w:r>
      <w:r w:rsidRPr="00C71545">
        <w:rPr>
          <w:rFonts w:asciiTheme="majorEastAsia" w:eastAsiaTheme="majorEastAsia" w:hAnsiTheme="majorEastAsia" w:cs="ＭＳ ゴシック" w:hint="default"/>
          <w:szCs w:val="24"/>
        </w:rPr>
        <w:t>こと</w:t>
      </w:r>
      <w:r w:rsidRPr="00C71545">
        <w:rPr>
          <w:rFonts w:asciiTheme="majorEastAsia" w:eastAsiaTheme="majorEastAsia" w:hAnsiTheme="majorEastAsia" w:cs="ＭＳ ゴシック"/>
          <w:szCs w:val="24"/>
        </w:rPr>
        <w:t>となっています</w:t>
      </w:r>
      <w:r w:rsidR="00883A72" w:rsidRPr="00C71545">
        <w:rPr>
          <w:rFonts w:asciiTheme="majorEastAsia" w:eastAsiaTheme="majorEastAsia" w:hAnsiTheme="majorEastAsia" w:cs="ＭＳ ゴシック"/>
          <w:szCs w:val="24"/>
        </w:rPr>
        <w:t>が、実際の病棟には様々な病期の患者が入院</w:t>
      </w:r>
      <w:r w:rsidR="003653FA" w:rsidRPr="00C71545">
        <w:rPr>
          <w:rFonts w:asciiTheme="majorEastAsia" w:eastAsiaTheme="majorEastAsia" w:hAnsiTheme="majorEastAsia" w:cs="ＭＳ ゴシック"/>
          <w:szCs w:val="24"/>
        </w:rPr>
        <w:t>され</w:t>
      </w:r>
      <w:r w:rsidR="00883A72" w:rsidRPr="00C71545">
        <w:rPr>
          <w:rFonts w:asciiTheme="majorEastAsia" w:eastAsiaTheme="majorEastAsia" w:hAnsiTheme="majorEastAsia" w:cs="ＭＳ ゴシック"/>
          <w:szCs w:val="24"/>
        </w:rPr>
        <w:t>てい</w:t>
      </w:r>
      <w:r w:rsidR="0009042F" w:rsidRPr="00C71545">
        <w:rPr>
          <w:rFonts w:asciiTheme="majorEastAsia" w:eastAsiaTheme="majorEastAsia" w:hAnsiTheme="majorEastAsia" w:cs="ＭＳ ゴシック"/>
          <w:szCs w:val="24"/>
        </w:rPr>
        <w:t>ます。</w:t>
      </w:r>
      <w:r w:rsidR="00883A72" w:rsidRPr="00C71545">
        <w:rPr>
          <w:rFonts w:asciiTheme="majorEastAsia" w:eastAsiaTheme="majorEastAsia" w:hAnsiTheme="majorEastAsia" w:cs="ＭＳ ゴシック"/>
          <w:szCs w:val="24"/>
        </w:rPr>
        <w:t>また、各医療機関が「病棟の患者構成」を自主的に判断し報告</w:t>
      </w:r>
      <w:r w:rsidR="0009042F" w:rsidRPr="00C71545">
        <w:rPr>
          <w:rFonts w:asciiTheme="majorEastAsia" w:eastAsiaTheme="majorEastAsia" w:hAnsiTheme="majorEastAsia" w:cs="ＭＳ ゴシック"/>
          <w:szCs w:val="24"/>
        </w:rPr>
        <w:t>することとなっています。</w:t>
      </w:r>
    </w:p>
    <w:p w:rsidR="00607FF0" w:rsidRPr="00C71545" w:rsidRDefault="00883A72" w:rsidP="004761EA">
      <w:pPr>
        <w:overflowPunct/>
        <w:autoSpaceDE w:val="0"/>
        <w:autoSpaceDN w:val="0"/>
        <w:adjustRightInd w:val="0"/>
        <w:ind w:firstLineChars="100" w:firstLine="240"/>
        <w:textAlignment w:val="auto"/>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このため、</w:t>
      </w:r>
      <w:r w:rsidR="004761EA" w:rsidRPr="00C71545">
        <w:rPr>
          <w:rFonts w:asciiTheme="majorEastAsia" w:eastAsiaTheme="majorEastAsia" w:hAnsiTheme="majorEastAsia" w:cs="ＭＳ ゴシック"/>
          <w:szCs w:val="24"/>
        </w:rPr>
        <w:t>その報告において、回復期機能を担う病床が大幅に不足し、必要な回復期医療を受けられない患者が多数生じているとの誤解が起きて</w:t>
      </w:r>
      <w:r w:rsidR="00607FF0" w:rsidRPr="00C71545">
        <w:rPr>
          <w:rFonts w:asciiTheme="majorEastAsia" w:eastAsiaTheme="majorEastAsia" w:hAnsiTheme="majorEastAsia" w:cs="ＭＳ ゴシック"/>
          <w:szCs w:val="24"/>
        </w:rPr>
        <w:t>います。</w:t>
      </w:r>
    </w:p>
    <w:p w:rsidR="004761EA" w:rsidRPr="00C71545" w:rsidRDefault="004761EA" w:rsidP="004761EA">
      <w:pPr>
        <w:overflowPunct/>
        <w:autoSpaceDE w:val="0"/>
        <w:autoSpaceDN w:val="0"/>
        <w:adjustRightInd w:val="0"/>
        <w:ind w:firstLineChars="100" w:firstLine="240"/>
        <w:textAlignment w:val="auto"/>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そ</w:t>
      </w:r>
      <w:r w:rsidR="00883A72" w:rsidRPr="00C71545">
        <w:rPr>
          <w:rFonts w:asciiTheme="majorEastAsia" w:eastAsiaTheme="majorEastAsia" w:hAnsiTheme="majorEastAsia" w:cs="ＭＳ ゴシック"/>
          <w:szCs w:val="24"/>
        </w:rPr>
        <w:t>こで</w:t>
      </w:r>
      <w:r w:rsidRPr="00C71545">
        <w:rPr>
          <w:rFonts w:asciiTheme="majorEastAsia" w:eastAsiaTheme="majorEastAsia" w:hAnsiTheme="majorEastAsia" w:cs="ＭＳ ゴシック"/>
          <w:szCs w:val="24"/>
        </w:rPr>
        <w:t>、京都府では、</w:t>
      </w:r>
      <w:r w:rsidRPr="00C71545">
        <w:rPr>
          <w:rFonts w:asciiTheme="majorEastAsia" w:eastAsiaTheme="majorEastAsia" w:hAnsiTheme="majorEastAsia" w:cs="ＭＳ ゴシック"/>
          <w:szCs w:val="24"/>
          <w:u w:val="single"/>
        </w:rPr>
        <w:t>急性期機能</w:t>
      </w:r>
      <w:r w:rsidRPr="00C71545">
        <w:rPr>
          <w:rFonts w:asciiTheme="majorEastAsia" w:eastAsiaTheme="majorEastAsia" w:hAnsiTheme="majorEastAsia" w:cs="ＭＳ ゴシック"/>
          <w:szCs w:val="24"/>
        </w:rPr>
        <w:t>を「重度急性期（仮）」と「地域急性期（仮）」に分類</w:t>
      </w:r>
      <w:r w:rsidR="00883A72" w:rsidRPr="00C71545">
        <w:rPr>
          <w:rFonts w:asciiTheme="majorEastAsia" w:eastAsiaTheme="majorEastAsia" w:hAnsiTheme="majorEastAsia" w:cs="ＭＳ ゴシック"/>
          <w:szCs w:val="24"/>
        </w:rPr>
        <w:t>し、</w:t>
      </w:r>
      <w:r w:rsidR="00883A72" w:rsidRPr="00C71545">
        <w:rPr>
          <w:rFonts w:asciiTheme="majorEastAsia" w:eastAsiaTheme="majorEastAsia" w:hAnsiTheme="majorEastAsia" w:cs="ＭＳ ゴシック"/>
          <w:szCs w:val="24"/>
          <w:u w:val="single"/>
        </w:rPr>
        <w:t>「地域急性期（仮）」を回復期と</w:t>
      </w:r>
      <w:r w:rsidR="0009042F" w:rsidRPr="00C71545">
        <w:rPr>
          <w:rFonts w:asciiTheme="majorEastAsia" w:eastAsiaTheme="majorEastAsia" w:hAnsiTheme="majorEastAsia" w:cs="ＭＳ ゴシック"/>
          <w:szCs w:val="24"/>
          <w:u w:val="single"/>
        </w:rPr>
        <w:t>みなすこと</w:t>
      </w:r>
      <w:r w:rsidR="0009042F" w:rsidRPr="00C71545">
        <w:rPr>
          <w:rFonts w:asciiTheme="majorEastAsia" w:eastAsiaTheme="majorEastAsia" w:hAnsiTheme="majorEastAsia" w:cs="ＭＳ ゴシック"/>
          <w:szCs w:val="24"/>
        </w:rPr>
        <w:t>で</w:t>
      </w:r>
      <w:r w:rsidR="00883A72" w:rsidRPr="00C71545">
        <w:rPr>
          <w:rFonts w:asciiTheme="majorEastAsia" w:eastAsiaTheme="majorEastAsia" w:hAnsiTheme="majorEastAsia" w:cs="ＭＳ ゴシック"/>
          <w:szCs w:val="24"/>
        </w:rPr>
        <w:t>、</w:t>
      </w:r>
      <w:r w:rsidRPr="00C71545">
        <w:rPr>
          <w:rFonts w:asciiTheme="majorEastAsia" w:eastAsiaTheme="majorEastAsia" w:hAnsiTheme="majorEastAsia" w:cs="ＭＳ ゴシック"/>
          <w:szCs w:val="24"/>
        </w:rPr>
        <w:t>病棟機能と病床機能報告との乖離を是正し、実状に即した医療機能や供給量を把握するためのメル</w:t>
      </w:r>
      <w:r w:rsidR="00997117" w:rsidRPr="00C71545">
        <w:rPr>
          <w:rFonts w:asciiTheme="majorEastAsia" w:eastAsiaTheme="majorEastAsia" w:hAnsiTheme="majorEastAsia" w:cs="ＭＳ ゴシック"/>
          <w:szCs w:val="24"/>
        </w:rPr>
        <w:t>ク</w:t>
      </w:r>
      <w:r w:rsidRPr="00C71545">
        <w:rPr>
          <w:rFonts w:asciiTheme="majorEastAsia" w:eastAsiaTheme="majorEastAsia" w:hAnsiTheme="majorEastAsia" w:cs="ＭＳ ゴシック"/>
          <w:szCs w:val="24"/>
        </w:rPr>
        <w:t>マー</w:t>
      </w:r>
      <w:r w:rsidR="00997117" w:rsidRPr="00C71545">
        <w:rPr>
          <w:rFonts w:asciiTheme="majorEastAsia" w:eastAsiaTheme="majorEastAsia" w:hAnsiTheme="majorEastAsia" w:cs="ＭＳ ゴシック"/>
          <w:szCs w:val="24"/>
        </w:rPr>
        <w:t>ル</w:t>
      </w:r>
      <w:r w:rsidRPr="00C71545">
        <w:rPr>
          <w:rFonts w:asciiTheme="majorEastAsia" w:eastAsiaTheme="majorEastAsia" w:hAnsiTheme="majorEastAsia" w:cs="ＭＳ ゴシック"/>
          <w:szCs w:val="24"/>
        </w:rPr>
        <w:t>を設定しました。</w:t>
      </w:r>
    </w:p>
    <w:p w:rsidR="004761EA" w:rsidRPr="0063697B" w:rsidRDefault="004761EA" w:rsidP="004761EA">
      <w:pPr>
        <w:overflowPunct/>
        <w:autoSpaceDE w:val="0"/>
        <w:autoSpaceDN w:val="0"/>
        <w:adjustRightInd w:val="0"/>
        <w:textAlignment w:val="auto"/>
        <w:rPr>
          <w:rFonts w:ascii="ＭＳ 明朝" w:eastAsia="ＭＳ 明朝" w:hint="default"/>
          <w:szCs w:val="24"/>
        </w:rPr>
      </w:pPr>
    </w:p>
    <w:p w:rsidR="004761EA" w:rsidRPr="00BD4B4F" w:rsidRDefault="004761EA" w:rsidP="004761EA">
      <w:pPr>
        <w:overflowPunct/>
        <w:autoSpaceDE w:val="0"/>
        <w:autoSpaceDN w:val="0"/>
        <w:adjustRightInd w:val="0"/>
        <w:jc w:val="left"/>
        <w:textAlignment w:val="auto"/>
        <w:rPr>
          <w:rFonts w:asciiTheme="majorEastAsia" w:eastAsiaTheme="majorEastAsia" w:hAnsiTheme="majorEastAsia" w:cs="ＭＳ ゴシック" w:hint="default"/>
          <w:b/>
          <w:szCs w:val="24"/>
        </w:rPr>
      </w:pPr>
      <w:r w:rsidRPr="00BD4B4F">
        <w:rPr>
          <w:rFonts w:asciiTheme="majorEastAsia" w:eastAsiaTheme="majorEastAsia" w:hAnsiTheme="majorEastAsia" w:cs="ＭＳ ゴシック"/>
          <w:b/>
          <w:szCs w:val="24"/>
        </w:rPr>
        <w:t>【京都府方式：回復期機能を定量的に判断する基準】</w:t>
      </w:r>
    </w:p>
    <w:p w:rsidR="00883A72" w:rsidRPr="00C71545" w:rsidRDefault="004761EA" w:rsidP="00883A72">
      <w:pPr>
        <w:pStyle w:val="a5"/>
        <w:numPr>
          <w:ilvl w:val="0"/>
          <w:numId w:val="1"/>
        </w:numPr>
        <w:overflowPunct/>
        <w:autoSpaceDE w:val="0"/>
        <w:autoSpaceDN w:val="0"/>
        <w:adjustRightInd w:val="0"/>
        <w:ind w:leftChars="0"/>
        <w:textAlignment w:val="auto"/>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地域を「京都・乙訓」及び「京都・乙訓以外」に、病棟規模を「５</w:t>
      </w:r>
      <w:r w:rsidRPr="00C71545">
        <w:rPr>
          <w:rFonts w:asciiTheme="majorEastAsia" w:eastAsiaTheme="majorEastAsia" w:hAnsiTheme="majorEastAsia" w:cs="ＭＳ ゴシック" w:hint="default"/>
          <w:szCs w:val="24"/>
        </w:rPr>
        <w:t>病棟以上の病院」</w:t>
      </w:r>
      <w:r w:rsidRPr="00C71545">
        <w:rPr>
          <w:rFonts w:asciiTheme="majorEastAsia" w:eastAsiaTheme="majorEastAsia" w:hAnsiTheme="majorEastAsia" w:cs="ＭＳ ゴシック"/>
          <w:szCs w:val="24"/>
        </w:rPr>
        <w:t>及び</w:t>
      </w:r>
      <w:r w:rsidRPr="00C71545">
        <w:rPr>
          <w:rFonts w:asciiTheme="majorEastAsia" w:eastAsiaTheme="majorEastAsia" w:hAnsiTheme="majorEastAsia" w:cs="ＭＳ ゴシック" w:hint="default"/>
          <w:szCs w:val="24"/>
        </w:rPr>
        <w:t>「</w:t>
      </w:r>
      <w:r w:rsidRPr="00C71545">
        <w:rPr>
          <w:rFonts w:asciiTheme="majorEastAsia" w:eastAsiaTheme="majorEastAsia" w:hAnsiTheme="majorEastAsia" w:cs="ＭＳ ゴシック"/>
          <w:szCs w:val="24"/>
        </w:rPr>
        <w:t>４</w:t>
      </w:r>
      <w:r w:rsidRPr="00C71545">
        <w:rPr>
          <w:rFonts w:asciiTheme="majorEastAsia" w:eastAsiaTheme="majorEastAsia" w:hAnsiTheme="majorEastAsia" w:cs="ＭＳ ゴシック" w:hint="default"/>
          <w:szCs w:val="24"/>
        </w:rPr>
        <w:t>病棟以下の病院」</w:t>
      </w:r>
      <w:r w:rsidRPr="00C71545">
        <w:rPr>
          <w:rFonts w:asciiTheme="majorEastAsia" w:eastAsiaTheme="majorEastAsia" w:hAnsiTheme="majorEastAsia" w:cs="ＭＳ ゴシック"/>
          <w:szCs w:val="24"/>
        </w:rPr>
        <w:t>の４</w:t>
      </w:r>
      <w:r w:rsidRPr="00C71545">
        <w:rPr>
          <w:rFonts w:asciiTheme="majorEastAsia" w:eastAsiaTheme="majorEastAsia" w:hAnsiTheme="majorEastAsia" w:cs="ＭＳ ゴシック" w:hint="default"/>
          <w:szCs w:val="24"/>
        </w:rPr>
        <w:t>区分に分け</w:t>
      </w:r>
      <w:r w:rsidRPr="00C71545">
        <w:rPr>
          <w:rFonts w:asciiTheme="majorEastAsia" w:eastAsiaTheme="majorEastAsia" w:hAnsiTheme="majorEastAsia" w:cs="ＭＳ ゴシック"/>
          <w:szCs w:val="24"/>
        </w:rPr>
        <w:t>、さらに</w:t>
      </w:r>
      <w:r w:rsidRPr="00C71545">
        <w:rPr>
          <w:rFonts w:asciiTheme="majorEastAsia" w:eastAsiaTheme="majorEastAsia" w:hAnsiTheme="majorEastAsia" w:cs="ＭＳ ゴシック" w:hint="default"/>
          <w:szCs w:val="24"/>
        </w:rPr>
        <w:t>重症度のしきい値をそれぞれ</w:t>
      </w:r>
      <w:r w:rsidR="00883A72" w:rsidRPr="00C71545">
        <w:rPr>
          <w:rFonts w:asciiTheme="majorEastAsia" w:eastAsiaTheme="majorEastAsia" w:hAnsiTheme="majorEastAsia" w:cs="ＭＳ ゴシック"/>
          <w:szCs w:val="24"/>
        </w:rPr>
        <w:t>設定。</w:t>
      </w:r>
    </w:p>
    <w:p w:rsidR="00607FF0" w:rsidRPr="00C71545" w:rsidRDefault="00607FF0" w:rsidP="00883A72">
      <w:pPr>
        <w:pStyle w:val="a5"/>
        <w:numPr>
          <w:ilvl w:val="0"/>
          <w:numId w:val="1"/>
        </w:numPr>
        <w:overflowPunct/>
        <w:autoSpaceDE w:val="0"/>
        <w:autoSpaceDN w:val="0"/>
        <w:adjustRightInd w:val="0"/>
        <w:ind w:leftChars="0"/>
        <w:textAlignment w:val="auto"/>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下図の区分</w:t>
      </w:r>
      <w:r w:rsidR="002B7BAE" w:rsidRPr="00C71545">
        <w:rPr>
          <w:rFonts w:asciiTheme="majorEastAsia" w:eastAsiaTheme="majorEastAsia" w:hAnsiTheme="majorEastAsia" w:cs="ＭＳ ゴシック"/>
          <w:szCs w:val="24"/>
        </w:rPr>
        <w:t>Ａ～Ｄ</w:t>
      </w:r>
      <w:r w:rsidRPr="00C71545">
        <w:rPr>
          <w:rFonts w:asciiTheme="majorEastAsia" w:eastAsiaTheme="majorEastAsia" w:hAnsiTheme="majorEastAsia" w:cs="ＭＳ ゴシック"/>
          <w:szCs w:val="24"/>
        </w:rPr>
        <w:t>に該当</w:t>
      </w:r>
      <w:r w:rsidR="002B7BAE" w:rsidRPr="00C71545">
        <w:rPr>
          <w:rFonts w:asciiTheme="majorEastAsia" w:eastAsiaTheme="majorEastAsia" w:hAnsiTheme="majorEastAsia" w:cs="ＭＳ ゴシック"/>
          <w:szCs w:val="24"/>
        </w:rPr>
        <w:t>する病棟がある</w:t>
      </w:r>
      <w:r w:rsidRPr="00C71545">
        <w:rPr>
          <w:rFonts w:asciiTheme="majorEastAsia" w:eastAsiaTheme="majorEastAsia" w:hAnsiTheme="majorEastAsia" w:cs="ＭＳ ゴシック"/>
          <w:szCs w:val="24"/>
        </w:rPr>
        <w:t>場合</w:t>
      </w:r>
      <w:r w:rsidR="00EA39DC" w:rsidRPr="00C71545">
        <w:rPr>
          <w:rFonts w:asciiTheme="majorEastAsia" w:eastAsiaTheme="majorEastAsia" w:hAnsiTheme="majorEastAsia" w:cs="ＭＳ ゴシック"/>
          <w:szCs w:val="24"/>
        </w:rPr>
        <w:t>には</w:t>
      </w:r>
      <w:r w:rsidRPr="00C71545">
        <w:rPr>
          <w:rFonts w:asciiTheme="majorEastAsia" w:eastAsiaTheme="majorEastAsia" w:hAnsiTheme="majorEastAsia" w:cs="ＭＳ ゴシック"/>
          <w:szCs w:val="24"/>
        </w:rPr>
        <w:t>、</w:t>
      </w:r>
      <w:r w:rsidR="0009042F" w:rsidRPr="00C71545">
        <w:rPr>
          <w:rFonts w:asciiTheme="majorEastAsia" w:eastAsiaTheme="majorEastAsia" w:hAnsiTheme="majorEastAsia" w:cs="ＭＳ ゴシック"/>
          <w:szCs w:val="24"/>
        </w:rPr>
        <w:t>「</w:t>
      </w:r>
      <w:r w:rsidRPr="00C71545">
        <w:rPr>
          <w:rFonts w:asciiTheme="majorEastAsia" w:eastAsiaTheme="majorEastAsia" w:hAnsiTheme="majorEastAsia" w:cs="ＭＳ ゴシック"/>
          <w:szCs w:val="24"/>
        </w:rPr>
        <w:t>回復期</w:t>
      </w:r>
      <w:r w:rsidR="0009042F" w:rsidRPr="00C71545">
        <w:rPr>
          <w:rFonts w:asciiTheme="majorEastAsia" w:eastAsiaTheme="majorEastAsia" w:hAnsiTheme="majorEastAsia" w:cs="ＭＳ ゴシック"/>
          <w:szCs w:val="24"/>
        </w:rPr>
        <w:t>」</w:t>
      </w:r>
      <w:r w:rsidRPr="00C71545">
        <w:rPr>
          <w:rFonts w:asciiTheme="majorEastAsia" w:eastAsiaTheme="majorEastAsia" w:hAnsiTheme="majorEastAsia" w:cs="ＭＳ ゴシック"/>
          <w:szCs w:val="24"/>
        </w:rPr>
        <w:t>として報告</w:t>
      </w:r>
      <w:r w:rsidR="00883A72" w:rsidRPr="00C71545">
        <w:rPr>
          <w:rFonts w:asciiTheme="majorEastAsia" w:eastAsiaTheme="majorEastAsia" w:hAnsiTheme="majorEastAsia" w:cs="ＭＳ ゴシック"/>
          <w:szCs w:val="24"/>
        </w:rPr>
        <w:t>。</w:t>
      </w:r>
    </w:p>
    <w:p w:rsidR="00883A72" w:rsidRPr="00C71545" w:rsidRDefault="00883A72" w:rsidP="00883A72">
      <w:pPr>
        <w:overflowPunct/>
        <w:autoSpaceDE w:val="0"/>
        <w:autoSpaceDN w:val="0"/>
        <w:adjustRightInd w:val="0"/>
        <w:spacing w:line="200" w:lineRule="exact"/>
        <w:ind w:left="720" w:hangingChars="300" w:hanging="720"/>
        <w:textAlignment w:val="auto"/>
        <w:rPr>
          <w:rFonts w:asciiTheme="majorEastAsia" w:eastAsiaTheme="majorEastAsia" w:hAnsiTheme="majorEastAsia" w:cs="ＭＳ ゴシック" w:hint="default"/>
          <w:szCs w:val="24"/>
        </w:rPr>
      </w:pPr>
    </w:p>
    <w:p w:rsidR="00607FF0" w:rsidRPr="00C71545" w:rsidRDefault="00607FF0" w:rsidP="007235E3">
      <w:pPr>
        <w:overflowPunct/>
        <w:autoSpaceDE w:val="0"/>
        <w:autoSpaceDN w:val="0"/>
        <w:adjustRightInd w:val="0"/>
        <w:ind w:left="720" w:hangingChars="300" w:hanging="720"/>
        <w:textAlignment w:val="auto"/>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（例）京都・乙訓地域の５病棟以上</w:t>
      </w:r>
      <w:r w:rsidR="002B7BAE" w:rsidRPr="00C71545">
        <w:rPr>
          <w:rFonts w:asciiTheme="majorEastAsia" w:eastAsiaTheme="majorEastAsia" w:hAnsiTheme="majorEastAsia" w:cs="ＭＳ ゴシック"/>
          <w:szCs w:val="24"/>
        </w:rPr>
        <w:t>ある</w:t>
      </w:r>
      <w:r w:rsidRPr="00C71545">
        <w:rPr>
          <w:rFonts w:asciiTheme="majorEastAsia" w:eastAsiaTheme="majorEastAsia" w:hAnsiTheme="majorEastAsia" w:cs="ＭＳ ゴシック"/>
          <w:szCs w:val="24"/>
        </w:rPr>
        <w:t>病院で、重症度</w:t>
      </w:r>
      <w:r w:rsidR="007235E3" w:rsidRPr="00C71545">
        <w:rPr>
          <w:rFonts w:asciiTheme="majorEastAsia" w:eastAsiaTheme="majorEastAsia" w:hAnsiTheme="majorEastAsia" w:cs="ＭＳ ゴシック" w:hint="default"/>
          <w:szCs w:val="24"/>
        </w:rPr>
        <w:t>のしきい値</w:t>
      </w:r>
      <w:r w:rsidR="00EA39DC" w:rsidRPr="00C71545">
        <w:rPr>
          <w:rFonts w:asciiTheme="majorEastAsia" w:eastAsiaTheme="majorEastAsia" w:hAnsiTheme="majorEastAsia" w:cs="ＭＳ ゴシック"/>
          <w:szCs w:val="24"/>
        </w:rPr>
        <w:t>25</w:t>
      </w:r>
      <w:r w:rsidRPr="00C71545">
        <w:rPr>
          <w:rFonts w:asciiTheme="majorEastAsia" w:eastAsiaTheme="majorEastAsia" w:hAnsiTheme="majorEastAsia" w:cs="ＭＳ ゴシック"/>
          <w:szCs w:val="24"/>
        </w:rPr>
        <w:t>％未満の区分Ａに該当</w:t>
      </w:r>
      <w:r w:rsidR="007235E3" w:rsidRPr="00C71545">
        <w:rPr>
          <w:rFonts w:asciiTheme="majorEastAsia" w:eastAsiaTheme="majorEastAsia" w:hAnsiTheme="majorEastAsia" w:cs="ＭＳ ゴシック"/>
          <w:szCs w:val="24"/>
        </w:rPr>
        <w:t>する病棟がある</w:t>
      </w:r>
      <w:r w:rsidRPr="00C71545">
        <w:rPr>
          <w:rFonts w:asciiTheme="majorEastAsia" w:eastAsiaTheme="majorEastAsia" w:hAnsiTheme="majorEastAsia" w:cs="ＭＳ ゴシック"/>
          <w:szCs w:val="24"/>
        </w:rPr>
        <w:t>場合、</w:t>
      </w:r>
      <w:r w:rsidR="006352CB" w:rsidRPr="00C71545">
        <w:rPr>
          <w:rFonts w:asciiTheme="majorEastAsia" w:eastAsiaTheme="majorEastAsia" w:hAnsiTheme="majorEastAsia" w:cs="ＭＳ ゴシック"/>
          <w:szCs w:val="24"/>
        </w:rPr>
        <w:t>「回復期」として</w:t>
      </w:r>
      <w:r w:rsidR="002B7BAE" w:rsidRPr="00C71545">
        <w:rPr>
          <w:rFonts w:asciiTheme="majorEastAsia" w:eastAsiaTheme="majorEastAsia" w:hAnsiTheme="majorEastAsia" w:cs="ＭＳ ゴシック"/>
          <w:szCs w:val="24"/>
        </w:rPr>
        <w:t>御</w:t>
      </w:r>
      <w:r w:rsidR="006352CB" w:rsidRPr="00C71545">
        <w:rPr>
          <w:rFonts w:asciiTheme="majorEastAsia" w:eastAsiaTheme="majorEastAsia" w:hAnsiTheme="majorEastAsia" w:cs="ＭＳ ゴシック"/>
          <w:szCs w:val="24"/>
        </w:rPr>
        <w:t>回答してください。</w:t>
      </w:r>
    </w:p>
    <w:p w:rsidR="004761EA" w:rsidRDefault="004761EA" w:rsidP="004761EA">
      <w:pPr>
        <w:overflowPunct/>
        <w:autoSpaceDE w:val="0"/>
        <w:autoSpaceDN w:val="0"/>
        <w:adjustRightInd w:val="0"/>
        <w:jc w:val="center"/>
        <w:textAlignment w:val="auto"/>
        <w:rPr>
          <w:rFonts w:ascii="ＭＳ 明朝" w:eastAsia="ＭＳ 明朝" w:cs="ＭＳ ゴシック" w:hint="default"/>
          <w:szCs w:val="24"/>
        </w:rPr>
      </w:pPr>
      <w:r>
        <w:rPr>
          <w:noProof/>
        </w:rPr>
        <w:drawing>
          <wp:inline distT="0" distB="0" distL="0" distR="0">
            <wp:extent cx="4443840" cy="310176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3840" cy="3101760"/>
                    </a:xfrm>
                    <a:prstGeom prst="rect">
                      <a:avLst/>
                    </a:prstGeom>
                    <a:noFill/>
                    <a:ln>
                      <a:noFill/>
                    </a:ln>
                  </pic:spPr>
                </pic:pic>
              </a:graphicData>
            </a:graphic>
          </wp:inline>
        </w:drawing>
      </w:r>
    </w:p>
    <w:p w:rsidR="004761EA" w:rsidRPr="00C71545" w:rsidRDefault="004761EA" w:rsidP="004761EA">
      <w:pPr>
        <w:ind w:left="480" w:hangingChars="200" w:hanging="480"/>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　特定機能病院及び400床以上の地域医療支援病院は、</w:t>
      </w:r>
      <w:r w:rsidRPr="00C71545">
        <w:rPr>
          <w:rFonts w:asciiTheme="majorEastAsia" w:eastAsiaTheme="majorEastAsia" w:hAnsiTheme="majorEastAsia" w:cs="ＭＳ ゴシック"/>
          <w:color w:val="auto"/>
          <w:szCs w:val="24"/>
        </w:rPr>
        <w:t>病院全体における重症度が25％以上</w:t>
      </w:r>
      <w:r w:rsidRPr="00C71545">
        <w:rPr>
          <w:rFonts w:asciiTheme="majorEastAsia" w:eastAsiaTheme="majorEastAsia" w:hAnsiTheme="majorEastAsia" w:cs="ＭＳ ゴシック"/>
          <w:szCs w:val="24"/>
        </w:rPr>
        <w:t>の場合は、しきい値</w:t>
      </w:r>
      <w:r w:rsidR="007235E3" w:rsidRPr="00C71545">
        <w:rPr>
          <w:rFonts w:asciiTheme="majorEastAsia" w:eastAsiaTheme="majorEastAsia" w:hAnsiTheme="majorEastAsia" w:cs="ＭＳ ゴシック"/>
          <w:szCs w:val="24"/>
        </w:rPr>
        <w:t>未満</w:t>
      </w:r>
      <w:r w:rsidRPr="00C71545">
        <w:rPr>
          <w:rFonts w:asciiTheme="majorEastAsia" w:eastAsiaTheme="majorEastAsia" w:hAnsiTheme="majorEastAsia" w:cs="ＭＳ ゴシック"/>
          <w:szCs w:val="24"/>
        </w:rPr>
        <w:t>でも</w:t>
      </w:r>
      <w:r w:rsidR="002B7BAE" w:rsidRPr="00C71545">
        <w:rPr>
          <w:rFonts w:asciiTheme="majorEastAsia" w:eastAsiaTheme="majorEastAsia" w:hAnsiTheme="majorEastAsia" w:cs="ＭＳ ゴシック"/>
          <w:szCs w:val="24"/>
        </w:rPr>
        <w:t>「</w:t>
      </w:r>
      <w:r w:rsidRPr="00C71545">
        <w:rPr>
          <w:rFonts w:asciiTheme="majorEastAsia" w:eastAsiaTheme="majorEastAsia" w:hAnsiTheme="majorEastAsia" w:cs="ＭＳ ゴシック"/>
          <w:szCs w:val="24"/>
        </w:rPr>
        <w:t>急性期</w:t>
      </w:r>
      <w:r w:rsidR="002B7BAE" w:rsidRPr="00C71545">
        <w:rPr>
          <w:rFonts w:asciiTheme="majorEastAsia" w:eastAsiaTheme="majorEastAsia" w:hAnsiTheme="majorEastAsia" w:cs="ＭＳ ゴシック"/>
          <w:szCs w:val="24"/>
        </w:rPr>
        <w:t>」</w:t>
      </w:r>
      <w:r w:rsidRPr="00C71545">
        <w:rPr>
          <w:rFonts w:asciiTheme="majorEastAsia" w:eastAsiaTheme="majorEastAsia" w:hAnsiTheme="majorEastAsia" w:cs="ＭＳ ゴシック"/>
          <w:szCs w:val="24"/>
        </w:rPr>
        <w:t>に区分します。</w:t>
      </w:r>
    </w:p>
    <w:p w:rsidR="004761EA" w:rsidRPr="00C71545" w:rsidRDefault="004761EA" w:rsidP="004761EA">
      <w:pPr>
        <w:ind w:left="480" w:hangingChars="200" w:hanging="480"/>
        <w:rPr>
          <w:rFonts w:asciiTheme="majorEastAsia" w:eastAsiaTheme="majorEastAsia" w:hAnsiTheme="majorEastAsia" w:cs="ＭＳ ゴシック" w:hint="default"/>
          <w:szCs w:val="24"/>
        </w:rPr>
      </w:pPr>
      <w:r w:rsidRPr="00C71545">
        <w:rPr>
          <w:rFonts w:asciiTheme="majorEastAsia" w:eastAsiaTheme="majorEastAsia" w:hAnsiTheme="majorEastAsia" w:cs="ＭＳ ゴシック"/>
          <w:szCs w:val="24"/>
        </w:rPr>
        <w:t>※　京都方式は、固定化したものでなく、必要に応じて今後見直します。</w:t>
      </w:r>
    </w:p>
    <w:p w:rsidR="00883A72" w:rsidRPr="00C71545" w:rsidRDefault="00883A72" w:rsidP="00883A72">
      <w:pPr>
        <w:overflowPunct/>
        <w:autoSpaceDE w:val="0"/>
        <w:autoSpaceDN w:val="0"/>
        <w:adjustRightInd w:val="0"/>
        <w:spacing w:line="200" w:lineRule="exact"/>
        <w:ind w:left="720" w:hangingChars="300" w:hanging="720"/>
        <w:textAlignment w:val="auto"/>
        <w:rPr>
          <w:rFonts w:asciiTheme="majorEastAsia" w:eastAsiaTheme="majorEastAsia" w:hAnsiTheme="majorEastAsia" w:cs="ＭＳ ゴシック" w:hint="default"/>
          <w:szCs w:val="24"/>
        </w:rPr>
      </w:pPr>
    </w:p>
    <w:p w:rsidR="003D65AE" w:rsidRDefault="004761EA" w:rsidP="00883A72">
      <w:pPr>
        <w:overflowPunct/>
        <w:autoSpaceDE w:val="0"/>
        <w:autoSpaceDN w:val="0"/>
        <w:adjustRightInd w:val="0"/>
        <w:textAlignment w:val="auto"/>
        <w:rPr>
          <w:rFonts w:asciiTheme="majorEastAsia" w:eastAsiaTheme="majorEastAsia" w:hAnsiTheme="majorEastAsia" w:cs="ＭＳ ゴシック" w:hint="default"/>
          <w:b/>
          <w:szCs w:val="24"/>
        </w:rPr>
      </w:pPr>
      <w:r w:rsidRPr="00C71545">
        <w:rPr>
          <w:rFonts w:asciiTheme="majorEastAsia" w:eastAsiaTheme="majorEastAsia" w:hAnsiTheme="majorEastAsia" w:cs="ＭＳ ゴシック"/>
          <w:b/>
          <w:szCs w:val="24"/>
        </w:rPr>
        <w:t>(注)　京都方式</w:t>
      </w:r>
      <w:r w:rsidR="00607FF0" w:rsidRPr="00C71545">
        <w:rPr>
          <w:rFonts w:asciiTheme="majorEastAsia" w:eastAsiaTheme="majorEastAsia" w:hAnsiTheme="majorEastAsia" w:cs="ＭＳ ゴシック"/>
          <w:b/>
          <w:szCs w:val="24"/>
        </w:rPr>
        <w:t>と診療報酬は</w:t>
      </w:r>
      <w:r w:rsidRPr="00C71545">
        <w:rPr>
          <w:rFonts w:asciiTheme="majorEastAsia" w:eastAsiaTheme="majorEastAsia" w:hAnsiTheme="majorEastAsia" w:cs="ＭＳ ゴシック"/>
          <w:b/>
          <w:szCs w:val="24"/>
        </w:rPr>
        <w:t>リンクするものではありません。</w:t>
      </w:r>
    </w:p>
    <w:p w:rsidR="009D5E51" w:rsidRPr="00C46F7D" w:rsidRDefault="009D5E51" w:rsidP="009D5E51">
      <w:pPr>
        <w:jc w:val="center"/>
        <w:rPr>
          <w:rFonts w:asciiTheme="majorEastAsia" w:eastAsiaTheme="majorEastAsia" w:hAnsiTheme="majorEastAsia" w:hint="default"/>
          <w:b/>
          <w:sz w:val="32"/>
          <w:szCs w:val="32"/>
          <w:u w:val="single"/>
        </w:rPr>
      </w:pPr>
      <w:r w:rsidRPr="00C46F7D">
        <w:rPr>
          <w:rFonts w:asciiTheme="majorEastAsia" w:eastAsiaTheme="majorEastAsia" w:hAnsiTheme="majorEastAsia"/>
          <w:b/>
          <w:sz w:val="32"/>
          <w:szCs w:val="32"/>
          <w:u w:val="single"/>
        </w:rPr>
        <w:lastRenderedPageBreak/>
        <w:t>病床機能報告に係る</w:t>
      </w:r>
      <w:r>
        <w:rPr>
          <w:rFonts w:asciiTheme="majorEastAsia" w:eastAsiaTheme="majorEastAsia" w:hAnsiTheme="majorEastAsia"/>
          <w:b/>
          <w:sz w:val="32"/>
          <w:szCs w:val="32"/>
          <w:u w:val="single"/>
        </w:rPr>
        <w:t>機能区分について</w:t>
      </w:r>
    </w:p>
    <w:p w:rsidR="009D5E51" w:rsidRPr="004D7A1E" w:rsidRDefault="009D5E51" w:rsidP="009D5E51">
      <w:pPr>
        <w:rPr>
          <w:rFonts w:hint="default"/>
        </w:rPr>
      </w:pPr>
    </w:p>
    <w:p w:rsidR="009D5E51" w:rsidRDefault="009D5E51" w:rsidP="009D5E51">
      <w:pPr>
        <w:rPr>
          <w:rFonts w:hint="default"/>
        </w:rPr>
      </w:pPr>
      <w:r>
        <w:t>【病床機能報告】</w:t>
      </w:r>
    </w:p>
    <w:p w:rsidR="009D5E51" w:rsidRPr="00C71545" w:rsidRDefault="009D5E51" w:rsidP="009D5E51">
      <w:pPr>
        <w:ind w:leftChars="101" w:left="484" w:hangingChars="101" w:hanging="242"/>
        <w:rPr>
          <w:rFonts w:asciiTheme="majorEastAsia" w:eastAsiaTheme="majorEastAsia" w:hAnsiTheme="majorEastAsia" w:hint="default"/>
        </w:rPr>
      </w:pPr>
      <w:r w:rsidRPr="00C71545">
        <w:rPr>
          <w:rFonts w:asciiTheme="majorEastAsia" w:eastAsiaTheme="majorEastAsia" w:hAnsiTheme="majorEastAsia"/>
        </w:rPr>
        <w:t>・</w:t>
      </w:r>
      <w:r w:rsidRPr="00C71545">
        <w:rPr>
          <w:rFonts w:asciiTheme="majorEastAsia" w:eastAsiaTheme="majorEastAsia" w:hAnsiTheme="majorEastAsia" w:cs="ＭＳ Ｐゴシック"/>
          <w:color w:val="333333"/>
          <w:szCs w:val="21"/>
        </w:rPr>
        <w:t>地域医療構想の策定にあたり、地域の医療機関が担っている医療機能の現状把握、分析を行うため「病床機能報告制度」を創設（</w:t>
      </w:r>
      <w:r w:rsidRPr="00C71545">
        <w:rPr>
          <w:rFonts w:asciiTheme="majorEastAsia" w:eastAsiaTheme="majorEastAsia" w:hAnsiTheme="majorEastAsia"/>
        </w:rPr>
        <w:t>平成26年10月スタート（毎年7月1日現在の状況等を10月末までに国に報告）</w:t>
      </w:r>
    </w:p>
    <w:p w:rsidR="009D5E51" w:rsidRPr="00C71545" w:rsidRDefault="009D5E51" w:rsidP="009D5E51">
      <w:pPr>
        <w:widowControl/>
        <w:shd w:val="clear" w:color="auto" w:fill="FFFFFF"/>
        <w:spacing w:after="192"/>
        <w:ind w:leftChars="100" w:left="485" w:hangingChars="102" w:hanging="245"/>
        <w:jc w:val="left"/>
        <w:rPr>
          <w:rFonts w:asciiTheme="majorEastAsia" w:eastAsiaTheme="majorEastAsia" w:hAnsiTheme="majorEastAsia" w:cs="ＭＳ Ｐゴシック" w:hint="default"/>
          <w:color w:val="333333"/>
          <w:szCs w:val="21"/>
        </w:rPr>
      </w:pPr>
      <w:r w:rsidRPr="00C71545">
        <w:rPr>
          <w:rFonts w:asciiTheme="majorEastAsia" w:eastAsiaTheme="majorEastAsia" w:hAnsiTheme="majorEastAsia" w:cs="ＭＳ Ｐゴシック"/>
          <w:color w:val="333333"/>
          <w:szCs w:val="21"/>
        </w:rPr>
        <w:t>・各医療機関が有する一般病床及び療養病床において担っている、病床機能（高度急性期、急性期、回復期、慢性期）を各医療機関が自主的に判断し、</w:t>
      </w:r>
      <w:r w:rsidRPr="00C71545">
        <w:rPr>
          <w:rFonts w:asciiTheme="majorEastAsia" w:eastAsiaTheme="majorEastAsia" w:hAnsiTheme="majorEastAsia" w:cs="ＭＳ Ｐゴシック"/>
          <w:b/>
          <w:color w:val="333333"/>
          <w:szCs w:val="21"/>
          <w:u w:val="single"/>
        </w:rPr>
        <w:t>病棟単位</w:t>
      </w:r>
      <w:r w:rsidRPr="00C71545">
        <w:rPr>
          <w:rFonts w:asciiTheme="majorEastAsia" w:eastAsiaTheme="majorEastAsia" w:hAnsiTheme="majorEastAsia" w:cs="ＭＳ Ｐゴシック"/>
          <w:color w:val="333333"/>
          <w:szCs w:val="21"/>
        </w:rPr>
        <w:t>を基本として国に報告。また、病床機能の報告に加え、</w:t>
      </w:r>
      <w:r w:rsidRPr="00C71545">
        <w:rPr>
          <w:rFonts w:asciiTheme="majorEastAsia" w:eastAsiaTheme="majorEastAsia" w:hAnsiTheme="majorEastAsia" w:cs="ＭＳ Ｐゴシック"/>
          <w:b/>
          <w:color w:val="333333"/>
          <w:szCs w:val="21"/>
          <w:u w:val="single"/>
        </w:rPr>
        <w:t>①医療設備　②医療従事者　③医療提供内容</w:t>
      </w:r>
      <w:r w:rsidRPr="00C71545">
        <w:rPr>
          <w:rFonts w:asciiTheme="majorEastAsia" w:eastAsiaTheme="majorEastAsia" w:hAnsiTheme="majorEastAsia" w:cs="ＭＳ Ｐゴシック"/>
          <w:color w:val="333333"/>
          <w:szCs w:val="21"/>
        </w:rPr>
        <w:t>についても報告することとされている。</w:t>
      </w:r>
    </w:p>
    <w:p w:rsidR="009D5E51" w:rsidRDefault="009D5E51" w:rsidP="009D5E51">
      <w:pPr>
        <w:widowControl/>
        <w:shd w:val="clear" w:color="auto" w:fill="FFFFFF"/>
        <w:spacing w:after="192"/>
        <w:ind w:left="240" w:hangingChars="100" w:hanging="240"/>
        <w:jc w:val="left"/>
        <w:rPr>
          <w:rFonts w:ascii="ＭＳ Ｐゴシック" w:eastAsia="ＭＳ Ｐゴシック" w:hAnsi="ＭＳ Ｐゴシック" w:cs="ＭＳ Ｐゴシック" w:hint="default"/>
          <w:color w:val="333333"/>
          <w:szCs w:val="21"/>
        </w:rPr>
      </w:pPr>
      <w:r>
        <w:rPr>
          <w:rFonts w:ascii="ＭＳ Ｐゴシック" w:eastAsia="ＭＳ Ｐゴシック" w:hAnsi="ＭＳ Ｐゴシック" w:cs="ＭＳ Ｐゴシック"/>
          <w:color w:val="333333"/>
          <w:szCs w:val="21"/>
        </w:rPr>
        <w:t>＜報告制度のイメージ＞</w:t>
      </w:r>
    </w:p>
    <w:p w:rsidR="009D5E51" w:rsidRDefault="009D5E51" w:rsidP="009D5E51">
      <w:pPr>
        <w:widowControl/>
        <w:shd w:val="clear" w:color="auto" w:fill="FFFFFF"/>
        <w:spacing w:after="192"/>
        <w:ind w:leftChars="200" w:left="480"/>
        <w:jc w:val="left"/>
        <w:rPr>
          <w:rFonts w:hint="default"/>
        </w:rPr>
      </w:pPr>
      <w:r>
        <w:rPr>
          <w:rFonts w:ascii="ＭＳ Ｐゴシック" w:eastAsia="ＭＳ Ｐゴシック" w:hAnsi="ＭＳ Ｐゴシック" w:cs="ＭＳ Ｐゴシック"/>
          <w:noProof/>
          <w:color w:val="333333"/>
          <w:szCs w:val="21"/>
        </w:rPr>
        <mc:AlternateContent>
          <mc:Choice Requires="wps">
            <w:drawing>
              <wp:inline distT="0" distB="0" distL="0" distR="0" wp14:anchorId="446F8F9C" wp14:editId="06E53C20">
                <wp:extent cx="5759450" cy="972000"/>
                <wp:effectExtent l="0" t="0" r="12700" b="19050"/>
                <wp:docPr id="5" name="角丸四角形 5"/>
                <wp:cNvGraphicFramePr/>
                <a:graphic xmlns:a="http://schemas.openxmlformats.org/drawingml/2006/main">
                  <a:graphicData uri="http://schemas.microsoft.com/office/word/2010/wordprocessingShape">
                    <wps:wsp>
                      <wps:cNvSpPr/>
                      <wps:spPr>
                        <a:xfrm>
                          <a:off x="0" y="0"/>
                          <a:ext cx="5759450" cy="972000"/>
                        </a:xfrm>
                        <a:prstGeom prst="roundRect">
                          <a:avLst>
                            <a:gd name="adj" fmla="val 10918"/>
                          </a:avLst>
                        </a:prstGeom>
                        <a:ln w="19050">
                          <a:prstDash val="dash"/>
                        </a:ln>
                      </wps:spPr>
                      <wps:style>
                        <a:lnRef idx="2">
                          <a:schemeClr val="accent6"/>
                        </a:lnRef>
                        <a:fillRef idx="1">
                          <a:schemeClr val="lt1"/>
                        </a:fillRef>
                        <a:effectRef idx="0">
                          <a:schemeClr val="accent6"/>
                        </a:effectRef>
                        <a:fontRef idx="minor">
                          <a:schemeClr val="dk1"/>
                        </a:fontRef>
                      </wps:style>
                      <wps:txbx>
                        <w:txbxContent>
                          <w:p w:rsidR="009D5E51" w:rsidRPr="00C71545" w:rsidRDefault="009D5E51" w:rsidP="009D5E51">
                            <w:pPr>
                              <w:spacing w:line="320" w:lineRule="exact"/>
                              <w:ind w:firstLineChars="100" w:firstLine="240"/>
                              <w:rPr>
                                <w:rFonts w:ascii="ＭＳ Ｐゴシック" w:eastAsia="ＭＳ Ｐゴシック" w:hAnsi="ＭＳ Ｐゴシック" w:hint="default"/>
                              </w:rPr>
                            </w:pPr>
                            <w:r w:rsidRPr="00C71545">
                              <w:rPr>
                                <w:rFonts w:ascii="ＭＳ Ｐゴシック" w:eastAsia="ＭＳ Ｐゴシック" w:hAnsi="ＭＳ Ｐゴシック"/>
                              </w:rPr>
                              <w:t>病床機能報告においては、病棟が担う医療機能をいずれか</w:t>
                            </w:r>
                            <w:r w:rsidRPr="00C71545">
                              <w:rPr>
                                <w:rFonts w:ascii="ＭＳ Ｐゴシック" w:eastAsia="ＭＳ Ｐゴシック" w:hAnsi="ＭＳ Ｐゴシック" w:hint="default"/>
                              </w:rPr>
                              <w:t>1つ選択して報告することとされて</w:t>
                            </w:r>
                            <w:r w:rsidRPr="00C71545">
                              <w:rPr>
                                <w:rFonts w:ascii="ＭＳ Ｐゴシック" w:eastAsia="ＭＳ Ｐゴシック" w:hAnsi="ＭＳ Ｐゴシック"/>
                              </w:rPr>
                              <w:t>いますが、実際の病棟には様々な病期の患者が入院</w:t>
                            </w:r>
                            <w:r w:rsidRPr="00C71545">
                              <w:rPr>
                                <w:rFonts w:ascii="ＭＳ Ｐゴシック" w:eastAsia="ＭＳ Ｐゴシック" w:hAnsi="ＭＳ Ｐゴシック" w:cs="Microsoft JhengHei"/>
                              </w:rPr>
                              <w:t>している</w:t>
                            </w:r>
                            <w:r w:rsidRPr="00C71545">
                              <w:rPr>
                                <w:rFonts w:ascii="ＭＳ Ｐゴシック" w:eastAsia="ＭＳ Ｐゴシック" w:hAnsi="ＭＳ Ｐゴシック" w:cs="ＭＳ ゴシック"/>
                              </w:rPr>
                              <w:t>ことから、下図のように当該病棟に</w:t>
                            </w:r>
                            <w:r w:rsidRPr="00C71545">
                              <w:rPr>
                                <w:rFonts w:ascii="ＭＳ Ｐゴシック" w:eastAsia="ＭＳ Ｐゴシック" w:hAnsi="ＭＳ Ｐゴシック"/>
                              </w:rPr>
                              <w:t>おいて最も多くの割合を占める患者に相当する機能を報告することを基本とします。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id="角丸四角形 5" o:spid="_x0000_s1026" style="width:453.5pt;height:76.55pt;visibility:visible;mso-wrap-style:square;mso-left-percent:-10001;mso-top-percent:-10001;mso-position-horizontal:absolute;mso-position-horizontal-relative:char;mso-position-vertical:absolute;mso-position-vertical-relative:line;mso-left-percent:-10001;mso-top-percent:-10001;v-text-anchor:top" arcsize="7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" fillcolor="white [3201]" strokecolor="#f79646 [3209]" strokeweight="1.5pt">
                <v:stroke dashstyle="dash"/>
                <v:textbox inset="1mm,1mm,1mm,1mm">
                  <w:txbxContent>
                    <w:p w:rsidR="009D5E51" w:rsidRPr="00C71545" w:rsidRDefault="009D5E51" w:rsidP="009D5E51">
                      <w:pPr>
                        <w:spacing w:line="320" w:lineRule="exact"/>
                        <w:ind w:firstLineChars="100" w:firstLine="240"/>
                        <w:rPr>
                          <w:rFonts w:ascii="ＭＳ Ｐゴシック" w:eastAsia="ＭＳ Ｐゴシック" w:hAnsi="ＭＳ Ｐゴシック" w:hint="default"/>
                        </w:rPr>
                      </w:pPr>
                      <w:r w:rsidRPr="00C71545">
                        <w:rPr>
                          <w:rFonts w:ascii="ＭＳ Ｐゴシック" w:eastAsia="ＭＳ Ｐゴシック" w:hAnsi="ＭＳ Ｐゴシック"/>
                        </w:rPr>
                        <w:t>病床機能報告においては、病棟が担う医療機能をいずれか</w:t>
                      </w:r>
                      <w:r w:rsidRPr="00C71545">
                        <w:rPr>
                          <w:rFonts w:ascii="ＭＳ Ｐゴシック" w:eastAsia="ＭＳ Ｐゴシック" w:hAnsi="ＭＳ Ｐゴシック" w:hint="default"/>
                        </w:rPr>
                        <w:t>1つ選択して報告することとされて</w:t>
                      </w:r>
                      <w:r w:rsidRPr="00C71545">
                        <w:rPr>
                          <w:rFonts w:ascii="ＭＳ Ｐゴシック" w:eastAsia="ＭＳ Ｐゴシック" w:hAnsi="ＭＳ Ｐゴシック"/>
                        </w:rPr>
                        <w:t>いますが、実際の病棟には様々な病期の患者が入院</w:t>
                      </w:r>
                      <w:r w:rsidRPr="00C71545">
                        <w:rPr>
                          <w:rFonts w:ascii="ＭＳ Ｐゴシック" w:eastAsia="ＭＳ Ｐゴシック" w:hAnsi="ＭＳ Ｐゴシック" w:cs="Microsoft JhengHei"/>
                        </w:rPr>
                        <w:t>している</w:t>
                      </w:r>
                      <w:r w:rsidRPr="00C71545">
                        <w:rPr>
                          <w:rFonts w:ascii="ＭＳ Ｐゴシック" w:eastAsia="ＭＳ Ｐゴシック" w:hAnsi="ＭＳ Ｐゴシック" w:cs="ＭＳ ゴシック"/>
                        </w:rPr>
                        <w:t>ことから、下図のように当該病棟に</w:t>
                      </w:r>
                      <w:r w:rsidRPr="00C71545">
                        <w:rPr>
                          <w:rFonts w:ascii="ＭＳ Ｐゴシック" w:eastAsia="ＭＳ Ｐゴシック" w:hAnsi="ＭＳ Ｐゴシック"/>
                        </w:rPr>
                        <w:t>おいて最も多くの割合を占める患者に相当する機能を報告することを基本とします。</w:t>
                      </w:r>
                    </w:p>
                  </w:txbxContent>
                </v:textbox>
                <w10:anchorlock/>
              </v:roundrect>
            </w:pict>
          </mc:Fallback>
        </mc:AlternateContent>
      </w:r>
      <w:r w:rsidRPr="006F4F54">
        <w:rPr>
          <w:noProof/>
        </w:rPr>
        <w:drawing>
          <wp:inline distT="0" distB="0" distL="0" distR="0" wp14:anchorId="2340530C" wp14:editId="75BEA868">
            <wp:extent cx="5759640" cy="2520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640" cy="2520000"/>
                    </a:xfrm>
                    <a:prstGeom prst="rect">
                      <a:avLst/>
                    </a:prstGeom>
                  </pic:spPr>
                </pic:pic>
              </a:graphicData>
            </a:graphic>
          </wp:inline>
        </w:drawing>
      </w:r>
    </w:p>
    <w:p w:rsidR="009D5E51" w:rsidRDefault="009D5E51" w:rsidP="009D5E51">
      <w:pPr>
        <w:rPr>
          <w:rFonts w:hint="default"/>
        </w:rPr>
      </w:pPr>
      <w:r>
        <w:t>【課題】</w:t>
      </w:r>
    </w:p>
    <w:p w:rsidR="009D5E51" w:rsidRDefault="009D5E51" w:rsidP="009D5E51">
      <w:pPr>
        <w:ind w:leftChars="100" w:left="240" w:firstLineChars="100" w:firstLine="240"/>
        <w:rPr>
          <w:rFonts w:hint="default"/>
        </w:rPr>
      </w:pPr>
      <w:r>
        <w:t>実際の病棟には様々な病期の患者が入院していること。また、各医療機関が「病棟の患者構成」を自主的に判断し報告することとなっている。</w:t>
      </w:r>
    </w:p>
    <w:p w:rsidR="009D5E51" w:rsidRPr="009D5E51" w:rsidRDefault="009D5E51" w:rsidP="00883A72">
      <w:pPr>
        <w:overflowPunct/>
        <w:autoSpaceDE w:val="0"/>
        <w:autoSpaceDN w:val="0"/>
        <w:adjustRightInd w:val="0"/>
        <w:textAlignment w:val="auto"/>
        <w:rPr>
          <w:rFonts w:asciiTheme="majorEastAsia" w:eastAsiaTheme="majorEastAsia" w:hAnsiTheme="majorEastAsia" w:cs="ＭＳ ゴシック" w:hint="default"/>
          <w:b/>
          <w:szCs w:val="24"/>
        </w:rPr>
      </w:pPr>
    </w:p>
    <w:sectPr w:rsidR="009D5E51" w:rsidRPr="009D5E51" w:rsidSect="0009042F">
      <w:footnotePr>
        <w:numRestart w:val="eachPage"/>
      </w:footnotePr>
      <w:endnotePr>
        <w:numFmt w:val="decimal"/>
      </w:endnotePr>
      <w:pgSz w:w="11906" w:h="16838" w:code="9"/>
      <w:pgMar w:top="1134" w:right="1134" w:bottom="1134" w:left="1134" w:header="1134" w:footer="0" w:gutter="0"/>
      <w:cols w:space="720"/>
      <w:docGrid w:type="lines" w:linePitch="346" w:charSpace="9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BE" w:rsidRDefault="002375BE" w:rsidP="00067A14">
      <w:pPr>
        <w:rPr>
          <w:rFonts w:hint="default"/>
        </w:rPr>
      </w:pPr>
      <w:r>
        <w:separator/>
      </w:r>
    </w:p>
  </w:endnote>
  <w:endnote w:type="continuationSeparator" w:id="0">
    <w:p w:rsidR="002375BE" w:rsidRDefault="002375BE" w:rsidP="00067A1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BE" w:rsidRDefault="002375BE" w:rsidP="00067A14">
      <w:pPr>
        <w:rPr>
          <w:rFonts w:hint="default"/>
        </w:rPr>
      </w:pPr>
      <w:r>
        <w:separator/>
      </w:r>
    </w:p>
  </w:footnote>
  <w:footnote w:type="continuationSeparator" w:id="0">
    <w:p w:rsidR="002375BE" w:rsidRDefault="002375BE" w:rsidP="00067A14">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6258"/>
    <w:multiLevelType w:val="hybridMultilevel"/>
    <w:tmpl w:val="4992F8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EA"/>
    <w:rsid w:val="00067A14"/>
    <w:rsid w:val="0009042F"/>
    <w:rsid w:val="002375BE"/>
    <w:rsid w:val="002B7BAE"/>
    <w:rsid w:val="002D62C1"/>
    <w:rsid w:val="003653FA"/>
    <w:rsid w:val="00374D7F"/>
    <w:rsid w:val="003D65AE"/>
    <w:rsid w:val="004761EA"/>
    <w:rsid w:val="004B67D3"/>
    <w:rsid w:val="005C37FC"/>
    <w:rsid w:val="005D1B57"/>
    <w:rsid w:val="00607FF0"/>
    <w:rsid w:val="006352CB"/>
    <w:rsid w:val="006F4F54"/>
    <w:rsid w:val="007235E3"/>
    <w:rsid w:val="00883A72"/>
    <w:rsid w:val="00997117"/>
    <w:rsid w:val="009D5E51"/>
    <w:rsid w:val="00A33098"/>
    <w:rsid w:val="00A42422"/>
    <w:rsid w:val="00A43DBB"/>
    <w:rsid w:val="00BD4B4F"/>
    <w:rsid w:val="00C01EAF"/>
    <w:rsid w:val="00C338DB"/>
    <w:rsid w:val="00C71545"/>
    <w:rsid w:val="00EA3677"/>
    <w:rsid w:val="00EA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EA"/>
    <w:pPr>
      <w:widowControl w:val="0"/>
      <w:overflowPunct w:val="0"/>
      <w:jc w:val="both"/>
      <w:textAlignment w:val="baseline"/>
    </w:pPr>
    <w:rPr>
      <w:rFonts w:ascii="ＭＳ ゴシック" w:eastAsia="ＭＳ ゴシック"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61EA"/>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Balloon Text"/>
    <w:basedOn w:val="a"/>
    <w:link w:val="a4"/>
    <w:uiPriority w:val="99"/>
    <w:semiHidden/>
    <w:unhideWhenUsed/>
    <w:rsid w:val="00476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1EA"/>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883A72"/>
    <w:pPr>
      <w:ind w:leftChars="400" w:left="840"/>
    </w:pPr>
  </w:style>
  <w:style w:type="paragraph" w:styleId="a6">
    <w:name w:val="header"/>
    <w:basedOn w:val="a"/>
    <w:link w:val="a7"/>
    <w:uiPriority w:val="99"/>
    <w:unhideWhenUsed/>
    <w:rsid w:val="00067A14"/>
    <w:pPr>
      <w:tabs>
        <w:tab w:val="center" w:pos="4252"/>
        <w:tab w:val="right" w:pos="8504"/>
      </w:tabs>
      <w:snapToGrid w:val="0"/>
    </w:pPr>
  </w:style>
  <w:style w:type="character" w:customStyle="1" w:styleId="a7">
    <w:name w:val="ヘッダー (文字)"/>
    <w:basedOn w:val="a0"/>
    <w:link w:val="a6"/>
    <w:uiPriority w:val="99"/>
    <w:rsid w:val="00067A14"/>
    <w:rPr>
      <w:rFonts w:ascii="ＭＳ ゴシック" w:eastAsia="ＭＳ ゴシック" w:hAnsi="ＭＳ 明朝" w:cs="ＭＳ 明朝"/>
      <w:color w:val="000000"/>
      <w:kern w:val="0"/>
      <w:sz w:val="24"/>
      <w:szCs w:val="20"/>
    </w:rPr>
  </w:style>
  <w:style w:type="paragraph" w:styleId="a8">
    <w:name w:val="footer"/>
    <w:basedOn w:val="a"/>
    <w:link w:val="a9"/>
    <w:uiPriority w:val="99"/>
    <w:unhideWhenUsed/>
    <w:rsid w:val="00067A14"/>
    <w:pPr>
      <w:tabs>
        <w:tab w:val="center" w:pos="4252"/>
        <w:tab w:val="right" w:pos="8504"/>
      </w:tabs>
      <w:snapToGrid w:val="0"/>
    </w:pPr>
  </w:style>
  <w:style w:type="character" w:customStyle="1" w:styleId="a9">
    <w:name w:val="フッター (文字)"/>
    <w:basedOn w:val="a0"/>
    <w:link w:val="a8"/>
    <w:uiPriority w:val="99"/>
    <w:rsid w:val="00067A14"/>
    <w:rPr>
      <w:rFonts w:ascii="ＭＳ ゴシック" w:eastAsia="ＭＳ ゴシック" w:hAnsi="ＭＳ 明朝" w:cs="ＭＳ 明朝"/>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EA"/>
    <w:pPr>
      <w:widowControl w:val="0"/>
      <w:overflowPunct w:val="0"/>
      <w:jc w:val="both"/>
      <w:textAlignment w:val="baseline"/>
    </w:pPr>
    <w:rPr>
      <w:rFonts w:ascii="ＭＳ ゴシック" w:eastAsia="ＭＳ ゴシック"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61EA"/>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Balloon Text"/>
    <w:basedOn w:val="a"/>
    <w:link w:val="a4"/>
    <w:uiPriority w:val="99"/>
    <w:semiHidden/>
    <w:unhideWhenUsed/>
    <w:rsid w:val="00476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1EA"/>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883A72"/>
    <w:pPr>
      <w:ind w:leftChars="400" w:left="840"/>
    </w:pPr>
  </w:style>
  <w:style w:type="paragraph" w:styleId="a6">
    <w:name w:val="header"/>
    <w:basedOn w:val="a"/>
    <w:link w:val="a7"/>
    <w:uiPriority w:val="99"/>
    <w:unhideWhenUsed/>
    <w:rsid w:val="00067A14"/>
    <w:pPr>
      <w:tabs>
        <w:tab w:val="center" w:pos="4252"/>
        <w:tab w:val="right" w:pos="8504"/>
      </w:tabs>
      <w:snapToGrid w:val="0"/>
    </w:pPr>
  </w:style>
  <w:style w:type="character" w:customStyle="1" w:styleId="a7">
    <w:name w:val="ヘッダー (文字)"/>
    <w:basedOn w:val="a0"/>
    <w:link w:val="a6"/>
    <w:uiPriority w:val="99"/>
    <w:rsid w:val="00067A14"/>
    <w:rPr>
      <w:rFonts w:ascii="ＭＳ ゴシック" w:eastAsia="ＭＳ ゴシック" w:hAnsi="ＭＳ 明朝" w:cs="ＭＳ 明朝"/>
      <w:color w:val="000000"/>
      <w:kern w:val="0"/>
      <w:sz w:val="24"/>
      <w:szCs w:val="20"/>
    </w:rPr>
  </w:style>
  <w:style w:type="paragraph" w:styleId="a8">
    <w:name w:val="footer"/>
    <w:basedOn w:val="a"/>
    <w:link w:val="a9"/>
    <w:uiPriority w:val="99"/>
    <w:unhideWhenUsed/>
    <w:rsid w:val="00067A14"/>
    <w:pPr>
      <w:tabs>
        <w:tab w:val="center" w:pos="4252"/>
        <w:tab w:val="right" w:pos="8504"/>
      </w:tabs>
      <w:snapToGrid w:val="0"/>
    </w:pPr>
  </w:style>
  <w:style w:type="character" w:customStyle="1" w:styleId="a9">
    <w:name w:val="フッター (文字)"/>
    <w:basedOn w:val="a0"/>
    <w:link w:val="a8"/>
    <w:uiPriority w:val="99"/>
    <w:rsid w:val="00067A14"/>
    <w:rPr>
      <w:rFonts w:ascii="ＭＳ ゴシック" w:eastAsia="ＭＳ ゴシック"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ED2F-BACC-4D86-9257-C30CAC4B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2019-11-05T23:36:00Z</cp:lastPrinted>
  <dcterms:created xsi:type="dcterms:W3CDTF">2019-11-05T23:36:00Z</dcterms:created>
  <dcterms:modified xsi:type="dcterms:W3CDTF">2019-11-05T23:36:00Z</dcterms:modified>
</cp:coreProperties>
</file>